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D8DF" w14:textId="77777777" w:rsidR="00C85F57" w:rsidRDefault="00C85F57" w:rsidP="00C85F57"/>
    <w:p w14:paraId="7F4E5062" w14:textId="69EE41B3" w:rsidR="00F63734" w:rsidRPr="00F650D6" w:rsidRDefault="00F63734" w:rsidP="00C85F57">
      <w:pPr>
        <w:rPr>
          <w:rFonts w:ascii="Libre Baskerville" w:hAnsi="Libre Baskerville"/>
          <w:color w:val="FD4C01"/>
          <w:sz w:val="32"/>
          <w:szCs w:val="32"/>
        </w:rPr>
      </w:pPr>
      <w:r w:rsidRPr="00F650D6">
        <w:rPr>
          <w:rFonts w:ascii="Libre Baskerville" w:hAnsi="Libre Baskerville"/>
          <w:color w:val="FD4C01"/>
          <w:sz w:val="32"/>
          <w:szCs w:val="32"/>
        </w:rPr>
        <w:t>Level 1 Onboarding Courses</w:t>
      </w:r>
    </w:p>
    <w:p w14:paraId="6C1C320E" w14:textId="77777777" w:rsidR="00C85F57" w:rsidRPr="00C85F57" w:rsidRDefault="00C85F57" w:rsidP="00C85F57"/>
    <w:tbl>
      <w:tblPr>
        <w:tblStyle w:val="TableGrid"/>
        <w:tblW w:w="9634" w:type="dxa"/>
        <w:tblLook w:val="04A0" w:firstRow="1" w:lastRow="0" w:firstColumn="1" w:lastColumn="0" w:noHBand="0" w:noVBand="1"/>
      </w:tblPr>
      <w:tblGrid>
        <w:gridCol w:w="4508"/>
        <w:gridCol w:w="5126"/>
      </w:tblGrid>
      <w:tr w:rsidR="000F3656" w14:paraId="0D3037F2" w14:textId="77777777" w:rsidTr="005F4DC9">
        <w:tc>
          <w:tcPr>
            <w:tcW w:w="4508" w:type="dxa"/>
            <w:vAlign w:val="center"/>
          </w:tcPr>
          <w:p w14:paraId="785D688C" w14:textId="584DC67D" w:rsidR="000F3656" w:rsidRDefault="000F3656" w:rsidP="000F3656">
            <w:r w:rsidRPr="00F650D6">
              <w:rPr>
                <w:rFonts w:ascii="Minion Pro" w:eastAsia="Times New Roman" w:hAnsi="Minion Pro" w:cs="Times New Roman"/>
                <w:b/>
                <w:bCs/>
                <w:kern w:val="0"/>
                <w:sz w:val="32"/>
                <w:szCs w:val="32"/>
                <w:lang w:eastAsia="en-GB"/>
                <w14:ligatures w14:val="none"/>
              </w:rPr>
              <w:t>Module Title</w:t>
            </w:r>
          </w:p>
        </w:tc>
        <w:tc>
          <w:tcPr>
            <w:tcW w:w="5126" w:type="dxa"/>
            <w:vAlign w:val="center"/>
          </w:tcPr>
          <w:p w14:paraId="3280AB16" w14:textId="3AC49741" w:rsidR="000F3656" w:rsidRDefault="000F3656" w:rsidP="000F3656">
            <w:r w:rsidRPr="00F650D6">
              <w:rPr>
                <w:rFonts w:ascii="Minion Pro" w:hAnsi="Minion Pro"/>
                <w:b/>
                <w:bCs/>
                <w:sz w:val="32"/>
                <w:szCs w:val="32"/>
              </w:rPr>
              <w:t>Course Description</w:t>
            </w:r>
          </w:p>
        </w:tc>
      </w:tr>
      <w:tr w:rsidR="000F3656" w14:paraId="4E2E18E2" w14:textId="77777777" w:rsidTr="005F4DC9">
        <w:tc>
          <w:tcPr>
            <w:tcW w:w="4508" w:type="dxa"/>
          </w:tcPr>
          <w:p w14:paraId="4E984A35" w14:textId="77777777" w:rsidR="00201E3B" w:rsidRDefault="00201E3B" w:rsidP="00201E3B">
            <w:pPr>
              <w:rPr>
                <w:rFonts w:ascii="Minion Pro" w:eastAsia="Times New Roman" w:hAnsi="Minion Pro" w:cs="Times New Roman"/>
                <w:b/>
                <w:bCs/>
                <w:kern w:val="0"/>
                <w:lang w:eastAsia="en-GB"/>
                <w14:ligatures w14:val="none"/>
              </w:rPr>
            </w:pPr>
          </w:p>
          <w:p w14:paraId="3D587BDA" w14:textId="77777777" w:rsidR="00201E3B" w:rsidRDefault="00201E3B" w:rsidP="00201E3B">
            <w:pPr>
              <w:rPr>
                <w:rFonts w:ascii="Minion Pro" w:eastAsia="Times New Roman" w:hAnsi="Minion Pro" w:cs="Times New Roman"/>
                <w:b/>
                <w:bCs/>
                <w:kern w:val="0"/>
                <w:lang w:eastAsia="en-GB"/>
                <w14:ligatures w14:val="none"/>
              </w:rPr>
            </w:pPr>
          </w:p>
          <w:p w14:paraId="0DDF074C" w14:textId="5D23B15F" w:rsidR="000F3656" w:rsidRDefault="000F3656" w:rsidP="00201E3B">
            <w:r w:rsidRPr="00452468">
              <w:rPr>
                <w:rFonts w:ascii="Minion Pro" w:eastAsia="Times New Roman" w:hAnsi="Minion Pro" w:cs="Times New Roman"/>
                <w:b/>
                <w:bCs/>
                <w:kern w:val="0"/>
                <w:lang w:eastAsia="en-GB"/>
                <w14:ligatures w14:val="none"/>
              </w:rPr>
              <w:t>Needs Assessment and Action Plan</w:t>
            </w:r>
            <w:r>
              <w:rPr>
                <w:rFonts w:ascii="Minion Pro" w:eastAsia="Times New Roman" w:hAnsi="Minion Pro" w:cs="Times New Roman"/>
                <w:kern w:val="0"/>
                <w:lang w:eastAsia="en-GB"/>
                <w14:ligatures w14:val="none"/>
              </w:rPr>
              <w:t xml:space="preserve"> - 15 hours</w:t>
            </w:r>
          </w:p>
        </w:tc>
        <w:tc>
          <w:tcPr>
            <w:tcW w:w="5126" w:type="dxa"/>
          </w:tcPr>
          <w:p w14:paraId="4027B3EB" w14:textId="7A8C0E96" w:rsidR="000F3656" w:rsidRDefault="000F3656" w:rsidP="000F3656">
            <w:pPr>
              <w:jc w:val="both"/>
            </w:pPr>
            <w:r w:rsidRPr="00F63734">
              <w:rPr>
                <w:rFonts w:ascii="Minion Pro" w:hAnsi="Minion Pro"/>
              </w:rPr>
              <w:t>This six-module course equips settlement practitioners with skills to conduct needs assessments and develop culturally appropriate, individualized action plans to support diverse clients' settlement goals.</w:t>
            </w:r>
          </w:p>
        </w:tc>
      </w:tr>
      <w:tr w:rsidR="000F3656" w14:paraId="7A2EB67A" w14:textId="77777777" w:rsidTr="005F4DC9">
        <w:tc>
          <w:tcPr>
            <w:tcW w:w="4508" w:type="dxa"/>
          </w:tcPr>
          <w:p w14:paraId="0D9E5C32" w14:textId="77777777" w:rsidR="00201E3B" w:rsidRDefault="00201E3B" w:rsidP="00201E3B">
            <w:pPr>
              <w:rPr>
                <w:rFonts w:ascii="Minion Pro" w:eastAsia="Times New Roman" w:hAnsi="Minion Pro" w:cs="Times New Roman"/>
                <w:b/>
                <w:bCs/>
                <w:kern w:val="0"/>
                <w:lang w:eastAsia="en-GB"/>
                <w14:ligatures w14:val="none"/>
              </w:rPr>
            </w:pPr>
          </w:p>
          <w:p w14:paraId="2FF7EEC5" w14:textId="77777777" w:rsidR="00201E3B" w:rsidRDefault="00201E3B" w:rsidP="00201E3B">
            <w:pPr>
              <w:rPr>
                <w:rFonts w:ascii="Minion Pro" w:eastAsia="Times New Roman" w:hAnsi="Minion Pro" w:cs="Times New Roman"/>
                <w:b/>
                <w:bCs/>
                <w:kern w:val="0"/>
                <w:lang w:eastAsia="en-GB"/>
                <w14:ligatures w14:val="none"/>
              </w:rPr>
            </w:pPr>
          </w:p>
          <w:p w14:paraId="06A22EFF" w14:textId="77777777" w:rsidR="00201E3B" w:rsidRDefault="00201E3B" w:rsidP="00201E3B">
            <w:pPr>
              <w:rPr>
                <w:rFonts w:ascii="Minion Pro" w:eastAsia="Times New Roman" w:hAnsi="Minion Pro" w:cs="Times New Roman"/>
                <w:b/>
                <w:bCs/>
                <w:kern w:val="0"/>
                <w:lang w:eastAsia="en-GB"/>
                <w14:ligatures w14:val="none"/>
              </w:rPr>
            </w:pPr>
          </w:p>
          <w:p w14:paraId="597D8020" w14:textId="48C901F9" w:rsidR="000F3656" w:rsidRDefault="000F3656" w:rsidP="00201E3B">
            <w:r w:rsidRPr="00452468">
              <w:rPr>
                <w:rFonts w:ascii="Minion Pro" w:eastAsia="Times New Roman" w:hAnsi="Minion Pro" w:cs="Times New Roman"/>
                <w:b/>
                <w:bCs/>
                <w:kern w:val="0"/>
                <w:lang w:eastAsia="en-GB"/>
                <w14:ligatures w14:val="none"/>
              </w:rPr>
              <w:t>Professional Roles and Ethics</w:t>
            </w:r>
            <w:r w:rsidRPr="00F63734">
              <w:rPr>
                <w:rFonts w:ascii="Minion Pro" w:eastAsia="Times New Roman" w:hAnsi="Minion Pro" w:cs="Times New Roman"/>
                <w:kern w:val="0"/>
                <w:lang w:eastAsia="en-GB"/>
                <w14:ligatures w14:val="none"/>
              </w:rPr>
              <w:t xml:space="preserve"> </w:t>
            </w:r>
            <w:r>
              <w:rPr>
                <w:rFonts w:ascii="Minion Pro" w:eastAsia="Times New Roman" w:hAnsi="Minion Pro" w:cs="Times New Roman"/>
                <w:kern w:val="0"/>
                <w:lang w:eastAsia="en-GB"/>
                <w14:ligatures w14:val="none"/>
              </w:rPr>
              <w:t>–</w:t>
            </w:r>
            <w:r w:rsidRPr="00F63734">
              <w:rPr>
                <w:rFonts w:ascii="Minion Pro" w:eastAsia="Times New Roman" w:hAnsi="Minion Pro" w:cs="Times New Roman"/>
                <w:kern w:val="0"/>
                <w:lang w:eastAsia="en-GB"/>
                <w14:ligatures w14:val="none"/>
              </w:rPr>
              <w:t xml:space="preserve"> </w:t>
            </w:r>
            <w:r>
              <w:rPr>
                <w:rFonts w:ascii="Minion Pro" w:eastAsia="Times New Roman" w:hAnsi="Minion Pro" w:cs="Times New Roman"/>
                <w:kern w:val="0"/>
                <w:lang w:eastAsia="en-GB"/>
                <w14:ligatures w14:val="none"/>
              </w:rPr>
              <w:t>1</w:t>
            </w:r>
            <w:r w:rsidR="00BD7116">
              <w:rPr>
                <w:rFonts w:ascii="Minion Pro" w:eastAsia="Times New Roman" w:hAnsi="Minion Pro" w:cs="Times New Roman"/>
                <w:kern w:val="0"/>
                <w:lang w:eastAsia="en-GB"/>
                <w14:ligatures w14:val="none"/>
              </w:rPr>
              <w:t>5</w:t>
            </w:r>
            <w:r>
              <w:rPr>
                <w:rFonts w:ascii="Minion Pro" w:eastAsia="Times New Roman" w:hAnsi="Minion Pro" w:cs="Times New Roman"/>
                <w:kern w:val="0"/>
                <w:lang w:eastAsia="en-GB"/>
                <w14:ligatures w14:val="none"/>
              </w:rPr>
              <w:t xml:space="preserve"> hours</w:t>
            </w:r>
          </w:p>
        </w:tc>
        <w:tc>
          <w:tcPr>
            <w:tcW w:w="5126" w:type="dxa"/>
          </w:tcPr>
          <w:p w14:paraId="3EA9264A" w14:textId="37619F6E" w:rsidR="000F3656" w:rsidRDefault="000F3656" w:rsidP="000F3656">
            <w:pPr>
              <w:jc w:val="both"/>
            </w:pPr>
            <w:r>
              <w:rPr>
                <w:rFonts w:ascii="Times New Roman" w:hAnsi="Times New Roman" w:cs="Times New Roman"/>
              </w:rPr>
              <w:t>This course explores the functions of Service Provider Organizations (SPOs) and their relationship with community services. Participants will examine settlement practitioners' roles, ethical guidelines, and practical issues like boundaries, confidentiality, and conflict of interest.</w:t>
            </w:r>
          </w:p>
        </w:tc>
      </w:tr>
      <w:tr w:rsidR="000F3656" w14:paraId="31C806FC" w14:textId="77777777" w:rsidTr="005F4DC9">
        <w:tc>
          <w:tcPr>
            <w:tcW w:w="4508" w:type="dxa"/>
          </w:tcPr>
          <w:p w14:paraId="196579EE" w14:textId="77777777" w:rsidR="00201E3B" w:rsidRDefault="00201E3B" w:rsidP="00201E3B">
            <w:pPr>
              <w:rPr>
                <w:rFonts w:ascii="Minion Pro" w:eastAsia="Times New Roman" w:hAnsi="Minion Pro" w:cs="Times New Roman"/>
                <w:b/>
                <w:bCs/>
                <w:kern w:val="0"/>
                <w:lang w:eastAsia="en-GB"/>
                <w14:ligatures w14:val="none"/>
              </w:rPr>
            </w:pPr>
          </w:p>
          <w:p w14:paraId="5003DFA5" w14:textId="77777777" w:rsidR="00201E3B" w:rsidRDefault="00201E3B" w:rsidP="00201E3B">
            <w:pPr>
              <w:rPr>
                <w:rFonts w:ascii="Minion Pro" w:eastAsia="Times New Roman" w:hAnsi="Minion Pro" w:cs="Times New Roman"/>
                <w:b/>
                <w:bCs/>
                <w:kern w:val="0"/>
                <w:lang w:eastAsia="en-GB"/>
                <w14:ligatures w14:val="none"/>
              </w:rPr>
            </w:pPr>
          </w:p>
          <w:p w14:paraId="1DE56A96" w14:textId="77777777" w:rsidR="00201E3B" w:rsidRDefault="00201E3B" w:rsidP="00201E3B">
            <w:pPr>
              <w:rPr>
                <w:rFonts w:ascii="Minion Pro" w:eastAsia="Times New Roman" w:hAnsi="Minion Pro" w:cs="Times New Roman"/>
                <w:b/>
                <w:bCs/>
                <w:kern w:val="0"/>
                <w:lang w:eastAsia="en-GB"/>
                <w14:ligatures w14:val="none"/>
              </w:rPr>
            </w:pPr>
          </w:p>
          <w:p w14:paraId="6D1B5F1A" w14:textId="0536BAC3" w:rsidR="000F3656" w:rsidRDefault="000F3656" w:rsidP="00201E3B">
            <w:r w:rsidRPr="00452468">
              <w:rPr>
                <w:rFonts w:ascii="Minion Pro" w:eastAsia="Times New Roman" w:hAnsi="Minion Pro" w:cs="Times New Roman"/>
                <w:b/>
                <w:bCs/>
                <w:kern w:val="0"/>
                <w:lang w:eastAsia="en-GB"/>
                <w14:ligatures w14:val="none"/>
              </w:rPr>
              <w:t>Settlement Transition Process</w:t>
            </w:r>
            <w:r w:rsidRPr="00F63734">
              <w:rPr>
                <w:rFonts w:ascii="Minion Pro" w:eastAsia="Times New Roman" w:hAnsi="Minion Pro" w:cs="Times New Roman"/>
                <w:kern w:val="0"/>
                <w:lang w:eastAsia="en-GB"/>
                <w14:ligatures w14:val="none"/>
              </w:rPr>
              <w:t xml:space="preserve"> –</w:t>
            </w:r>
            <w:r>
              <w:rPr>
                <w:rFonts w:ascii="Minion Pro" w:eastAsia="Times New Roman" w:hAnsi="Minion Pro" w:cs="Times New Roman"/>
                <w:kern w:val="0"/>
                <w:lang w:eastAsia="en-GB"/>
                <w14:ligatures w14:val="none"/>
              </w:rPr>
              <w:t xml:space="preserve"> 15 hours</w:t>
            </w:r>
          </w:p>
        </w:tc>
        <w:tc>
          <w:tcPr>
            <w:tcW w:w="5126" w:type="dxa"/>
          </w:tcPr>
          <w:p w14:paraId="4E1C6127" w14:textId="12FAD70A" w:rsidR="000F3656" w:rsidRDefault="000F3656" w:rsidP="000F3656">
            <w:pPr>
              <w:jc w:val="both"/>
            </w:pPr>
            <w:r>
              <w:t>This course introduces concepts like acculturation, culture shock, and post-traumatic stress, emphasizing the role of settlement agencies in Alberta. Participants will explore challenges in settlement and strategies to effectively address them.</w:t>
            </w:r>
          </w:p>
        </w:tc>
      </w:tr>
      <w:tr w:rsidR="000F3656" w14:paraId="37D8B786" w14:textId="77777777" w:rsidTr="005F4DC9">
        <w:tc>
          <w:tcPr>
            <w:tcW w:w="4508" w:type="dxa"/>
          </w:tcPr>
          <w:p w14:paraId="2E0D88A5" w14:textId="77777777" w:rsidR="00201E3B" w:rsidRDefault="00201E3B" w:rsidP="00201E3B">
            <w:pPr>
              <w:rPr>
                <w:rFonts w:ascii="Minion Pro" w:eastAsia="Times New Roman" w:hAnsi="Minion Pro" w:cs="Times New Roman"/>
                <w:b/>
                <w:bCs/>
                <w:kern w:val="0"/>
                <w:lang w:eastAsia="en-GB"/>
                <w14:ligatures w14:val="none"/>
              </w:rPr>
            </w:pPr>
          </w:p>
          <w:p w14:paraId="61C0C803" w14:textId="06943B15" w:rsidR="000F3656" w:rsidRDefault="000F3656" w:rsidP="00201E3B">
            <w:r w:rsidRPr="00452468">
              <w:rPr>
                <w:rFonts w:ascii="Minion Pro" w:eastAsia="Times New Roman" w:hAnsi="Minion Pro" w:cs="Times New Roman"/>
                <w:b/>
                <w:bCs/>
                <w:kern w:val="0"/>
                <w:lang w:eastAsia="en-GB"/>
                <w14:ligatures w14:val="none"/>
              </w:rPr>
              <w:t>Basic Counseling in Cross-Cultural Context</w:t>
            </w:r>
            <w:r w:rsidRPr="00F63734">
              <w:rPr>
                <w:rFonts w:ascii="Minion Pro" w:eastAsia="Times New Roman" w:hAnsi="Minion Pro" w:cs="Times New Roman"/>
                <w:kern w:val="0"/>
                <w:lang w:eastAsia="en-GB"/>
                <w14:ligatures w14:val="none"/>
              </w:rPr>
              <w:t xml:space="preserve"> </w:t>
            </w:r>
            <w:r>
              <w:rPr>
                <w:rFonts w:ascii="Minion Pro" w:eastAsia="Times New Roman" w:hAnsi="Minion Pro" w:cs="Times New Roman"/>
                <w:kern w:val="0"/>
                <w:lang w:eastAsia="en-GB"/>
                <w14:ligatures w14:val="none"/>
              </w:rPr>
              <w:t>– 15 hours</w:t>
            </w:r>
          </w:p>
        </w:tc>
        <w:tc>
          <w:tcPr>
            <w:tcW w:w="5126" w:type="dxa"/>
          </w:tcPr>
          <w:p w14:paraId="3BC60C75" w14:textId="5C06C77C" w:rsidR="000F3656" w:rsidRDefault="000F3656" w:rsidP="000F3656">
            <w:pPr>
              <w:jc w:val="both"/>
            </w:pPr>
            <w:r>
              <w:t>This course helps practitioners define their counselling roles, develop cultural sensitivity, and build the skills and attitudes necessary for effective cross-cultural interactions.</w:t>
            </w:r>
          </w:p>
        </w:tc>
      </w:tr>
      <w:tr w:rsidR="000F3656" w14:paraId="188530DF" w14:textId="77777777" w:rsidTr="005F4DC9">
        <w:tc>
          <w:tcPr>
            <w:tcW w:w="4508" w:type="dxa"/>
          </w:tcPr>
          <w:p w14:paraId="393BF071" w14:textId="77777777" w:rsidR="00201E3B" w:rsidRDefault="00201E3B" w:rsidP="00201E3B">
            <w:pPr>
              <w:rPr>
                <w:rFonts w:ascii="Minion Pro" w:eastAsia="Times New Roman" w:hAnsi="Minion Pro" w:cs="Times New Roman"/>
                <w:b/>
                <w:bCs/>
                <w:kern w:val="0"/>
                <w:lang w:eastAsia="en-GB"/>
                <w14:ligatures w14:val="none"/>
              </w:rPr>
            </w:pPr>
          </w:p>
          <w:p w14:paraId="1E6391DC" w14:textId="77777777" w:rsidR="00201E3B" w:rsidRDefault="00201E3B" w:rsidP="00201E3B">
            <w:pPr>
              <w:rPr>
                <w:rFonts w:ascii="Minion Pro" w:eastAsia="Times New Roman" w:hAnsi="Minion Pro" w:cs="Times New Roman"/>
                <w:b/>
                <w:bCs/>
                <w:kern w:val="0"/>
                <w:lang w:eastAsia="en-GB"/>
                <w14:ligatures w14:val="none"/>
              </w:rPr>
            </w:pPr>
          </w:p>
          <w:p w14:paraId="51741A06" w14:textId="77777777" w:rsidR="00201E3B" w:rsidRDefault="00201E3B" w:rsidP="00201E3B">
            <w:pPr>
              <w:rPr>
                <w:rFonts w:ascii="Minion Pro" w:eastAsia="Times New Roman" w:hAnsi="Minion Pro" w:cs="Times New Roman"/>
                <w:b/>
                <w:bCs/>
                <w:kern w:val="0"/>
                <w:lang w:eastAsia="en-GB"/>
                <w14:ligatures w14:val="none"/>
              </w:rPr>
            </w:pPr>
          </w:p>
          <w:p w14:paraId="1005736A" w14:textId="6CDF66B5" w:rsidR="000F3656" w:rsidRPr="00201E3B" w:rsidRDefault="000F3656" w:rsidP="00201E3B">
            <w:pPr>
              <w:rPr>
                <w:rFonts w:ascii="Minion Pro" w:eastAsia="Times New Roman" w:hAnsi="Minion Pro" w:cs="Times New Roman"/>
                <w:b/>
                <w:bCs/>
                <w:kern w:val="0"/>
                <w:lang w:eastAsia="en-GB"/>
                <w14:ligatures w14:val="none"/>
              </w:rPr>
            </w:pPr>
            <w:r w:rsidRPr="00452468">
              <w:rPr>
                <w:rFonts w:ascii="Minion Pro" w:eastAsia="Times New Roman" w:hAnsi="Minion Pro" w:cs="Times New Roman"/>
                <w:b/>
                <w:bCs/>
                <w:kern w:val="0"/>
                <w:lang w:eastAsia="en-GB"/>
                <w14:ligatures w14:val="none"/>
              </w:rPr>
              <w:t>Settlement 101</w:t>
            </w:r>
            <w:r>
              <w:rPr>
                <w:rFonts w:ascii="Minion Pro" w:eastAsia="Times New Roman" w:hAnsi="Minion Pro" w:cs="Times New Roman"/>
                <w:kern w:val="0"/>
                <w:lang w:eastAsia="en-GB"/>
                <w14:ligatures w14:val="none"/>
              </w:rPr>
              <w:t xml:space="preserve"> – 15 hours</w:t>
            </w:r>
          </w:p>
        </w:tc>
        <w:tc>
          <w:tcPr>
            <w:tcW w:w="5126" w:type="dxa"/>
          </w:tcPr>
          <w:p w14:paraId="3C2953EB" w14:textId="3C5D8571" w:rsidR="000F3656" w:rsidRDefault="000F3656" w:rsidP="000F3656">
            <w:pPr>
              <w:jc w:val="both"/>
            </w:pPr>
            <w:r>
              <w:t>This course provides resources and insights to support newcomers in settling effectively, including an overview of Alberta's settlement services and key organizations. It also examines social justice concepts like anti-racism and anti-oppression and their role in effective settlement work.</w:t>
            </w:r>
          </w:p>
        </w:tc>
      </w:tr>
    </w:tbl>
    <w:p w14:paraId="2BB0DE27" w14:textId="77777777" w:rsidR="00C85F57" w:rsidRPr="00C85F57" w:rsidRDefault="00C85F57" w:rsidP="00C85F57"/>
    <w:p w14:paraId="3847D616" w14:textId="77777777" w:rsidR="00C85F57" w:rsidRPr="00C85F57" w:rsidRDefault="00C85F57" w:rsidP="00C85F57"/>
    <w:p w14:paraId="34F0C1F6" w14:textId="77777777" w:rsidR="00C85F57" w:rsidRDefault="00C85F57" w:rsidP="00C85F57"/>
    <w:p w14:paraId="17051FEF" w14:textId="682DEEA9" w:rsidR="00C85F57" w:rsidRPr="00C85F57" w:rsidRDefault="00C85F57" w:rsidP="00C85F57">
      <w:pPr>
        <w:tabs>
          <w:tab w:val="left" w:pos="6409"/>
        </w:tabs>
      </w:pPr>
      <w:r>
        <w:tab/>
      </w:r>
    </w:p>
    <w:sectPr w:rsidR="00C85F57" w:rsidRPr="00C85F5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009E" w14:textId="77777777" w:rsidR="006C61BA" w:rsidRDefault="006C61BA" w:rsidP="00F23342">
      <w:pPr>
        <w:spacing w:after="0" w:line="240" w:lineRule="auto"/>
      </w:pPr>
      <w:r>
        <w:separator/>
      </w:r>
    </w:p>
  </w:endnote>
  <w:endnote w:type="continuationSeparator" w:id="0">
    <w:p w14:paraId="61B639E0" w14:textId="77777777" w:rsidR="006C61BA" w:rsidRDefault="006C61BA" w:rsidP="00F2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ibre Baskerville">
    <w:panose1 w:val="02000000000000000000"/>
    <w:charset w:val="00"/>
    <w:family w:val="auto"/>
    <w:pitch w:val="variable"/>
    <w:sig w:usb0="A00000BF" w:usb1="5000005B" w:usb2="00000000" w:usb3="00000000" w:csb0="00000093" w:csb1="00000000"/>
  </w:font>
  <w:font w:name="Minion Pro">
    <w:panose1 w:val="02040503050201020203"/>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CD26" w14:textId="5685E978" w:rsidR="00F63734" w:rsidRPr="00F63734" w:rsidRDefault="00F63734">
    <w:pPr>
      <w:pStyle w:val="Footer"/>
      <w:rPr>
        <w:lang w:val="en-US"/>
      </w:rPr>
    </w:pPr>
    <w:r>
      <w:rPr>
        <w:lang w:val="en-US"/>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EDAA" w14:textId="77777777" w:rsidR="006C61BA" w:rsidRDefault="006C61BA" w:rsidP="00F23342">
      <w:pPr>
        <w:spacing w:after="0" w:line="240" w:lineRule="auto"/>
      </w:pPr>
      <w:r>
        <w:separator/>
      </w:r>
    </w:p>
  </w:footnote>
  <w:footnote w:type="continuationSeparator" w:id="0">
    <w:p w14:paraId="4A497DE6" w14:textId="77777777" w:rsidR="006C61BA" w:rsidRDefault="006C61BA" w:rsidP="00F23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EC96" w14:textId="12FB0F4D" w:rsidR="00F23342" w:rsidRDefault="00C85F57">
    <w:pPr>
      <w:pStyle w:val="Header"/>
    </w:pPr>
    <w:r>
      <w:rPr>
        <w:rStyle w:val="wacimagecontainer"/>
        <w:rFonts w:ascii="Segoe UI" w:hAnsi="Segoe UI" w:cs="Segoe UI"/>
        <w:noProof/>
        <w:color w:val="5B9BD5"/>
        <w:sz w:val="18"/>
        <w:szCs w:val="18"/>
      </w:rPr>
      <w:drawing>
        <wp:inline distT="0" distB="0" distL="0" distR="0" wp14:anchorId="2806CF56" wp14:editId="15508A4D">
          <wp:extent cx="798195" cy="463550"/>
          <wp:effectExtent l="0" t="0" r="0" b="0"/>
          <wp:docPr id="113080747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75146"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463550"/>
                  </a:xfrm>
                  <a:prstGeom prst="rect">
                    <a:avLst/>
                  </a:prstGeom>
                  <a:noFill/>
                  <a:ln>
                    <a:noFill/>
                  </a:ln>
                </pic:spPr>
              </pic:pic>
            </a:graphicData>
          </a:graphic>
        </wp:inline>
      </w:drawing>
    </w:r>
    <w:r w:rsidRPr="00C85F57">
      <w:rPr>
        <w:rStyle w:val="Heading1Char"/>
        <w:rFonts w:ascii="Segoe UI" w:hAnsi="Segoe UI" w:cs="Segoe UI"/>
        <w:color w:val="5B9BD5"/>
        <w:sz w:val="18"/>
        <w:szCs w:val="18"/>
      </w:rPr>
      <w:t xml:space="preserve"> </w:t>
    </w:r>
    <w:r>
      <w:rPr>
        <w:rStyle w:val="wacimagecontainer"/>
        <w:rFonts w:ascii="Segoe UI" w:hAnsi="Segoe UI" w:cs="Segoe UI"/>
        <w:noProof/>
        <w:color w:val="5B9BD5"/>
        <w:sz w:val="18"/>
        <w:szCs w:val="18"/>
      </w:rPr>
      <w:drawing>
        <wp:inline distT="0" distB="0" distL="0" distR="0" wp14:anchorId="1D3ADA73" wp14:editId="1AE9494D">
          <wp:extent cx="798195" cy="463550"/>
          <wp:effectExtent l="0" t="0" r="0" b="0"/>
          <wp:docPr id="503750197"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13181"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463550"/>
                  </a:xfrm>
                  <a:prstGeom prst="rect">
                    <a:avLst/>
                  </a:prstGeom>
                  <a:noFill/>
                  <a:ln>
                    <a:noFill/>
                  </a:ln>
                </pic:spPr>
              </pic:pic>
            </a:graphicData>
          </a:graphic>
        </wp:inline>
      </w:drawing>
    </w:r>
    <w:r w:rsidRPr="00C85F57">
      <w:t xml:space="preserve"> </w:t>
    </w:r>
    <w:r>
      <w:rPr>
        <w:noProof/>
      </w:rPr>
      <w:drawing>
        <wp:inline distT="0" distB="0" distL="0" distR="0" wp14:anchorId="78A4AFD6" wp14:editId="5A613B32">
          <wp:extent cx="798195" cy="463550"/>
          <wp:effectExtent l="0" t="0" r="0" b="0"/>
          <wp:docPr id="114313419"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22539" name="Picture 3"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463550"/>
                  </a:xfrm>
                  <a:prstGeom prst="rect">
                    <a:avLst/>
                  </a:prstGeom>
                  <a:noFill/>
                  <a:ln>
                    <a:noFill/>
                  </a:ln>
                </pic:spPr>
              </pic:pic>
            </a:graphicData>
          </a:graphic>
        </wp:inline>
      </w:drawing>
    </w:r>
    <w:r w:rsidR="00F63734">
      <w:t xml:space="preserve">                                                                   </w:t>
    </w:r>
    <w:r w:rsidR="00F63734">
      <w:rPr>
        <w:noProof/>
      </w:rPr>
      <w:drawing>
        <wp:inline distT="0" distB="0" distL="0" distR="0" wp14:anchorId="182242DA" wp14:editId="27D96A3F">
          <wp:extent cx="1193800" cy="711200"/>
          <wp:effectExtent l="0" t="0" r="0" b="0"/>
          <wp:docPr id="1843423468" name="Picture 1" descr="A logo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97437" name="Picture 1" descr="A logo with orange letter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93800" cy="711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42"/>
    <w:rsid w:val="000059EC"/>
    <w:rsid w:val="0002375D"/>
    <w:rsid w:val="000B2E26"/>
    <w:rsid w:val="000C0954"/>
    <w:rsid w:val="000C6081"/>
    <w:rsid w:val="000F3656"/>
    <w:rsid w:val="00201E3B"/>
    <w:rsid w:val="00264802"/>
    <w:rsid w:val="003035FB"/>
    <w:rsid w:val="00452468"/>
    <w:rsid w:val="004D74E7"/>
    <w:rsid w:val="00552CDE"/>
    <w:rsid w:val="00575B64"/>
    <w:rsid w:val="005F4DC9"/>
    <w:rsid w:val="0067175F"/>
    <w:rsid w:val="006C61BA"/>
    <w:rsid w:val="007277BE"/>
    <w:rsid w:val="00872661"/>
    <w:rsid w:val="008858BE"/>
    <w:rsid w:val="009164C9"/>
    <w:rsid w:val="00A85971"/>
    <w:rsid w:val="00B2366F"/>
    <w:rsid w:val="00BD7116"/>
    <w:rsid w:val="00C75EA7"/>
    <w:rsid w:val="00C85F57"/>
    <w:rsid w:val="00CC06EC"/>
    <w:rsid w:val="00D948BF"/>
    <w:rsid w:val="00E64722"/>
    <w:rsid w:val="00E7404B"/>
    <w:rsid w:val="00F211CA"/>
    <w:rsid w:val="00F23342"/>
    <w:rsid w:val="00F63734"/>
    <w:rsid w:val="00F650D6"/>
    <w:rsid w:val="00F766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634F"/>
  <w15:chartTrackingRefBased/>
  <w15:docId w15:val="{F01CA293-1387-0D46-B645-4F540270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342"/>
    <w:rPr>
      <w:rFonts w:eastAsiaTheme="majorEastAsia" w:cstheme="majorBidi"/>
      <w:color w:val="272727" w:themeColor="text1" w:themeTint="D8"/>
    </w:rPr>
  </w:style>
  <w:style w:type="paragraph" w:styleId="Title">
    <w:name w:val="Title"/>
    <w:basedOn w:val="Normal"/>
    <w:next w:val="Normal"/>
    <w:link w:val="TitleChar"/>
    <w:uiPriority w:val="10"/>
    <w:qFormat/>
    <w:rsid w:val="00F23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342"/>
    <w:pPr>
      <w:spacing w:before="160"/>
      <w:jc w:val="center"/>
    </w:pPr>
    <w:rPr>
      <w:i/>
      <w:iCs/>
      <w:color w:val="404040" w:themeColor="text1" w:themeTint="BF"/>
    </w:rPr>
  </w:style>
  <w:style w:type="character" w:customStyle="1" w:styleId="QuoteChar">
    <w:name w:val="Quote Char"/>
    <w:basedOn w:val="DefaultParagraphFont"/>
    <w:link w:val="Quote"/>
    <w:uiPriority w:val="29"/>
    <w:rsid w:val="00F23342"/>
    <w:rPr>
      <w:i/>
      <w:iCs/>
      <w:color w:val="404040" w:themeColor="text1" w:themeTint="BF"/>
    </w:rPr>
  </w:style>
  <w:style w:type="paragraph" w:styleId="ListParagraph">
    <w:name w:val="List Paragraph"/>
    <w:basedOn w:val="Normal"/>
    <w:uiPriority w:val="34"/>
    <w:qFormat/>
    <w:rsid w:val="00F23342"/>
    <w:pPr>
      <w:ind w:left="720"/>
      <w:contextualSpacing/>
    </w:pPr>
  </w:style>
  <w:style w:type="character" w:styleId="IntenseEmphasis">
    <w:name w:val="Intense Emphasis"/>
    <w:basedOn w:val="DefaultParagraphFont"/>
    <w:uiPriority w:val="21"/>
    <w:qFormat/>
    <w:rsid w:val="00F23342"/>
    <w:rPr>
      <w:i/>
      <w:iCs/>
      <w:color w:val="0F4761" w:themeColor="accent1" w:themeShade="BF"/>
    </w:rPr>
  </w:style>
  <w:style w:type="paragraph" w:styleId="IntenseQuote">
    <w:name w:val="Intense Quote"/>
    <w:basedOn w:val="Normal"/>
    <w:next w:val="Normal"/>
    <w:link w:val="IntenseQuoteChar"/>
    <w:uiPriority w:val="30"/>
    <w:qFormat/>
    <w:rsid w:val="00F23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342"/>
    <w:rPr>
      <w:i/>
      <w:iCs/>
      <w:color w:val="0F4761" w:themeColor="accent1" w:themeShade="BF"/>
    </w:rPr>
  </w:style>
  <w:style w:type="character" w:styleId="IntenseReference">
    <w:name w:val="Intense Reference"/>
    <w:basedOn w:val="DefaultParagraphFont"/>
    <w:uiPriority w:val="32"/>
    <w:qFormat/>
    <w:rsid w:val="00F23342"/>
    <w:rPr>
      <w:b/>
      <w:bCs/>
      <w:smallCaps/>
      <w:color w:val="0F4761" w:themeColor="accent1" w:themeShade="BF"/>
      <w:spacing w:val="5"/>
    </w:rPr>
  </w:style>
  <w:style w:type="table" w:styleId="TableGrid">
    <w:name w:val="Table Grid"/>
    <w:basedOn w:val="TableNormal"/>
    <w:uiPriority w:val="39"/>
    <w:rsid w:val="00F23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342"/>
  </w:style>
  <w:style w:type="paragraph" w:styleId="Footer">
    <w:name w:val="footer"/>
    <w:basedOn w:val="Normal"/>
    <w:link w:val="FooterChar"/>
    <w:uiPriority w:val="99"/>
    <w:unhideWhenUsed/>
    <w:rsid w:val="00F23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342"/>
  </w:style>
  <w:style w:type="character" w:customStyle="1" w:styleId="wacimagecontainer">
    <w:name w:val="wacimagecontainer"/>
    <w:basedOn w:val="DefaultParagraphFont"/>
    <w:rsid w:val="00C85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1280</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Hours</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Hours</dc:title>
  <dc:subject/>
  <dc:creator>Sobia Mohiuddin</dc:creator>
  <cp:keywords/>
  <dc:description/>
  <cp:lastModifiedBy>Sobia Mohiuddin</cp:lastModifiedBy>
  <cp:revision>5</cp:revision>
  <cp:lastPrinted>2026-01-15T23:54:00Z</cp:lastPrinted>
  <dcterms:created xsi:type="dcterms:W3CDTF">2026-01-15T23:54:00Z</dcterms:created>
  <dcterms:modified xsi:type="dcterms:W3CDTF">2026-01-26T22:05:00Z</dcterms:modified>
</cp:coreProperties>
</file>